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bookmarkStart w:id="0" w:name="_GoBack"/>
      <w:bookmarkEnd w:id="0"/>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613561F"/>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644</Words>
  <Characters>3671</Characters>
  <Lines>30</Lines>
  <Paragraphs>8</Paragraphs>
  <TotalTime>4</TotalTime>
  <ScaleCrop>false</ScaleCrop>
  <LinksUpToDate>false</LinksUpToDate>
  <CharactersWithSpaces>4307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帅</cp:lastModifiedBy>
  <dcterms:modified xsi:type="dcterms:W3CDTF">2021-04-30T02:49:38Z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917E4FCA7EF4490FB108E4FF390ADE47</vt:lpwstr>
  </property>
</Properties>
</file>